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69D680AD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01B4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01B41" w:rsidRPr="00901B41">
        <w:rPr>
          <w:rFonts w:eastAsia="Times New Roman" w:cs="Times New Roman"/>
          <w:b/>
          <w:sz w:val="18"/>
          <w:szCs w:val="18"/>
          <w:lang w:eastAsia="cs-CZ"/>
        </w:rPr>
        <w:t xml:space="preserve">„Hněvice dopravní pavilon“, </w:t>
      </w:r>
      <w:r w:rsidRPr="00901B41">
        <w:rPr>
          <w:rFonts w:eastAsia="Times New Roman" w:cs="Times New Roman"/>
          <w:sz w:val="18"/>
          <w:szCs w:val="18"/>
          <w:lang w:eastAsia="cs-CZ"/>
        </w:rPr>
        <w:t>č.j.</w:t>
      </w:r>
      <w:r w:rsidR="00901B41" w:rsidRPr="00901B41">
        <w:rPr>
          <w:rFonts w:eastAsia="Times New Roman" w:cs="Times New Roman"/>
          <w:sz w:val="18"/>
          <w:szCs w:val="18"/>
          <w:lang w:eastAsia="cs-CZ"/>
        </w:rPr>
        <w:t xml:space="preserve"> 305/2024-SŽ-OŘ UNL-OVZ</w:t>
      </w:r>
      <w:r w:rsidRPr="00901B4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901B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01B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01B4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01B4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3F99C45E" w14:textId="77777777" w:rsidR="003727EC" w:rsidRDefault="003727EC">
      <w:bookmarkStart w:id="0" w:name="_GoBack"/>
      <w:bookmarkEnd w:id="0"/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E490" w14:textId="143663E1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D3F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2D3F83"/>
    <w:rsid w:val="00367743"/>
    <w:rsid w:val="003727EC"/>
    <w:rsid w:val="00627097"/>
    <w:rsid w:val="008455CB"/>
    <w:rsid w:val="00901B41"/>
    <w:rsid w:val="009919F8"/>
    <w:rsid w:val="00B37A10"/>
    <w:rsid w:val="00BF6A6B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94657C-1A80-4CE7-BC04-F77D20893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2420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10</cp:revision>
  <dcterms:created xsi:type="dcterms:W3CDTF">2022-04-17T17:54:00Z</dcterms:created>
  <dcterms:modified xsi:type="dcterms:W3CDTF">2024-01-04T07:40:00Z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